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1BFE2" w14:textId="77777777" w:rsidR="001270FD" w:rsidRPr="001270FD" w:rsidRDefault="001270FD" w:rsidP="001270FD">
      <w:pPr>
        <w:spacing w:after="0" w:line="240" w:lineRule="auto"/>
        <w:jc w:val="center"/>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noProof/>
          <w:color w:val="000000"/>
          <w:kern w:val="0"/>
          <w:sz w:val="24"/>
          <w:szCs w:val="24"/>
          <w:lang w:eastAsia="es-CO"/>
          <w14:ligatures w14:val="none"/>
        </w:rPr>
        <w:drawing>
          <wp:inline distT="0" distB="0" distL="0" distR="0" wp14:anchorId="6E093286" wp14:editId="71E41F2F">
            <wp:extent cx="1393190" cy="1316990"/>
            <wp:effectExtent l="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93190" cy="1316990"/>
                    </a:xfrm>
                    <a:prstGeom prst="rect">
                      <a:avLst/>
                    </a:prstGeom>
                    <a:noFill/>
                    <a:ln>
                      <a:noFill/>
                    </a:ln>
                  </pic:spPr>
                </pic:pic>
              </a:graphicData>
            </a:graphic>
          </wp:inline>
        </w:drawing>
      </w:r>
    </w:p>
    <w:p w14:paraId="17CEEC1A" w14:textId="77777777" w:rsidR="001270FD" w:rsidRPr="001270FD" w:rsidRDefault="001270FD" w:rsidP="001270FD">
      <w:pPr>
        <w:spacing w:after="0" w:line="240" w:lineRule="auto"/>
        <w:rPr>
          <w:rFonts w:ascii="Bookman Old Style" w:eastAsia="Times New Roman" w:hAnsi="Bookman Old Style" w:cs="Times New Roman"/>
          <w:color w:val="000000"/>
          <w:kern w:val="0"/>
          <w:sz w:val="24"/>
          <w:szCs w:val="24"/>
          <w:lang w:eastAsia="es-CO"/>
          <w14:ligatures w14:val="none"/>
        </w:rPr>
      </w:pPr>
    </w:p>
    <w:p w14:paraId="082B0271" w14:textId="05909C75"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p w14:paraId="75096B82" w14:textId="77777777" w:rsidR="001270FD" w:rsidRPr="001270FD" w:rsidRDefault="001270FD" w:rsidP="001270FD">
      <w:pPr>
        <w:spacing w:after="0" w:line="240" w:lineRule="auto"/>
        <w:jc w:val="center"/>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TUTELA</w:t>
      </w:r>
    </w:p>
    <w:p w14:paraId="4103F4FC" w14:textId="77777777" w:rsidR="001270FD" w:rsidRPr="001270FD" w:rsidRDefault="001270FD" w:rsidP="001270FD">
      <w:pPr>
        <w:spacing w:after="0" w:line="240" w:lineRule="auto"/>
        <w:rPr>
          <w:rFonts w:ascii="Bookman Old Style" w:eastAsia="Times New Roman" w:hAnsi="Bookman Old Style" w:cs="Times New Roman"/>
          <w:color w:val="000000"/>
          <w:kern w:val="0"/>
          <w:sz w:val="24"/>
          <w:szCs w:val="24"/>
          <w:lang w:eastAsia="es-CO"/>
          <w14:ligatures w14:val="none"/>
        </w:rPr>
      </w:pPr>
    </w:p>
    <w:p w14:paraId="056E5EDB" w14:textId="1FBA16A8"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p w14:paraId="76399826" w14:textId="77777777" w:rsidR="001270FD" w:rsidRPr="001270FD" w:rsidRDefault="001270FD" w:rsidP="001270FD">
      <w:pPr>
        <w:spacing w:after="0" w:line="240" w:lineRule="auto"/>
        <w:jc w:val="center"/>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REPORTE DE CONSULTA</w:t>
      </w:r>
    </w:p>
    <w:p w14:paraId="77C83FA4" w14:textId="59FBF3E1"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10"/>
      </w:tblGrid>
      <w:tr w:rsidR="001270FD" w:rsidRPr="001270FD" w14:paraId="432C9E55"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3E676B" w14:textId="77777777" w:rsidR="001270FD" w:rsidRPr="001270FD" w:rsidRDefault="001270FD" w:rsidP="001270FD">
            <w:pPr>
              <w:shd w:val="clear" w:color="auto" w:fill="BBFFAA"/>
              <w:spacing w:after="0" w:line="240" w:lineRule="auto"/>
              <w:jc w:val="center"/>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kern w:val="0"/>
                <w:sz w:val="24"/>
                <w:szCs w:val="24"/>
                <w:lang w:eastAsia="es-CO"/>
                <w14:ligatures w14:val="none"/>
              </w:rPr>
              <w:t>RELEVANTE</w:t>
            </w:r>
          </w:p>
          <w:p w14:paraId="4CA3A55F"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p w14:paraId="6D1262FD" w14:textId="7A4BE52B"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kern w:val="0"/>
                <w:sz w:val="24"/>
                <w:szCs w:val="24"/>
                <w:lang w:eastAsia="es-CO"/>
                <w14:ligatures w14:val="none"/>
              </w:rPr>
              <w:t>SALA DE CASACIÓN CIVIL, AGRARIA Y RURAL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95"/>
              <w:gridCol w:w="137"/>
              <w:gridCol w:w="4958"/>
            </w:tblGrid>
            <w:tr w:rsidR="001270FD" w:rsidRPr="001270FD" w14:paraId="62489ABB" w14:textId="77777777">
              <w:trPr>
                <w:tblCellSpacing w:w="15" w:type="dxa"/>
              </w:trPr>
              <w:tc>
                <w:tcPr>
                  <w:tcW w:w="3750" w:type="dxa"/>
                  <w:hideMark/>
                </w:tcPr>
                <w:p w14:paraId="756C6C0F"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ID</w:t>
                  </w:r>
                </w:p>
              </w:tc>
              <w:tc>
                <w:tcPr>
                  <w:tcW w:w="75" w:type="dxa"/>
                  <w:hideMark/>
                </w:tcPr>
                <w:p w14:paraId="5B7A67DE"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01EFA990"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946665</w:t>
                  </w:r>
                </w:p>
              </w:tc>
            </w:tr>
            <w:tr w:rsidR="001270FD" w:rsidRPr="001270FD" w14:paraId="0A74E21F" w14:textId="77777777">
              <w:trPr>
                <w:tblCellSpacing w:w="15" w:type="dxa"/>
              </w:trPr>
              <w:tc>
                <w:tcPr>
                  <w:tcW w:w="3750" w:type="dxa"/>
                  <w:hideMark/>
                </w:tcPr>
                <w:p w14:paraId="1664D23A"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M. PONENTE</w:t>
                  </w:r>
                </w:p>
              </w:tc>
              <w:tc>
                <w:tcPr>
                  <w:tcW w:w="75" w:type="dxa"/>
                  <w:hideMark/>
                </w:tcPr>
                <w:p w14:paraId="34E1C0D4"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53AF62FA"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HILDA GONZÁLEZ NEIRA</w:t>
                  </w:r>
                </w:p>
              </w:tc>
            </w:tr>
            <w:tr w:rsidR="001270FD" w:rsidRPr="001270FD" w14:paraId="4231F99B" w14:textId="77777777">
              <w:trPr>
                <w:tblCellSpacing w:w="15" w:type="dxa"/>
              </w:trPr>
              <w:tc>
                <w:tcPr>
                  <w:tcW w:w="3750" w:type="dxa"/>
                  <w:hideMark/>
                </w:tcPr>
                <w:p w14:paraId="411375CF"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NÚMERO DE PROCESO</w:t>
                  </w:r>
                </w:p>
              </w:tc>
              <w:tc>
                <w:tcPr>
                  <w:tcW w:w="75" w:type="dxa"/>
                  <w:hideMark/>
                </w:tcPr>
                <w:p w14:paraId="229B6908"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3F1921C9"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T 1100102030002025-05746-00</w:t>
                  </w:r>
                </w:p>
              </w:tc>
            </w:tr>
            <w:tr w:rsidR="001270FD" w:rsidRPr="001270FD" w14:paraId="59F39BE8" w14:textId="77777777">
              <w:trPr>
                <w:tblCellSpacing w:w="15" w:type="dxa"/>
              </w:trPr>
              <w:tc>
                <w:tcPr>
                  <w:tcW w:w="3750" w:type="dxa"/>
                  <w:hideMark/>
                </w:tcPr>
                <w:p w14:paraId="12418421"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NÚMERO DE PROVIDENCIA</w:t>
                  </w:r>
                </w:p>
              </w:tc>
              <w:tc>
                <w:tcPr>
                  <w:tcW w:w="75" w:type="dxa"/>
                  <w:hideMark/>
                </w:tcPr>
                <w:p w14:paraId="7676B123"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42769309" w14:textId="7E52DBE1" w:rsidR="001270FD" w:rsidRPr="001270FD" w:rsidRDefault="00F60F3D" w:rsidP="001270FD">
                  <w:pPr>
                    <w:spacing w:after="0" w:line="240" w:lineRule="auto"/>
                    <w:jc w:val="both"/>
                    <w:rPr>
                      <w:rFonts w:ascii="Bookman Old Style" w:eastAsia="Times New Roman" w:hAnsi="Bookman Old Style" w:cs="Times New Roman"/>
                      <w:kern w:val="0"/>
                      <w:sz w:val="24"/>
                      <w:szCs w:val="24"/>
                      <w:lang w:eastAsia="es-CO"/>
                      <w14:ligatures w14:val="none"/>
                    </w:rPr>
                  </w:pPr>
                  <w:hyperlink r:id="rId5" w:history="1">
                    <w:r w:rsidR="001270FD" w:rsidRPr="00F60F3D">
                      <w:rPr>
                        <w:rStyle w:val="Hipervnculo"/>
                        <w:rFonts w:ascii="Bookman Old Style" w:eastAsia="Times New Roman" w:hAnsi="Bookman Old Style" w:cs="Times New Roman"/>
                        <w:kern w:val="0"/>
                        <w:sz w:val="24"/>
                        <w:szCs w:val="24"/>
                        <w:lang w:eastAsia="es-CO"/>
                        <w14:ligatures w14:val="none"/>
                      </w:rPr>
                      <w:t>STC19743-2025</w:t>
                    </w:r>
                  </w:hyperlink>
                </w:p>
              </w:tc>
            </w:tr>
            <w:tr w:rsidR="001270FD" w:rsidRPr="001270FD" w14:paraId="23CD7449" w14:textId="77777777">
              <w:trPr>
                <w:tblCellSpacing w:w="15" w:type="dxa"/>
              </w:trPr>
              <w:tc>
                <w:tcPr>
                  <w:tcW w:w="3750" w:type="dxa"/>
                  <w:hideMark/>
                </w:tcPr>
                <w:p w14:paraId="71B0F2BD"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CLASE DE ACTUACIÓN</w:t>
                  </w:r>
                </w:p>
              </w:tc>
              <w:tc>
                <w:tcPr>
                  <w:tcW w:w="75" w:type="dxa"/>
                  <w:hideMark/>
                </w:tcPr>
                <w:p w14:paraId="2C5D263C"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0C90A318"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ACCIÓN DE TUTELA - PRIMERA INSTANCIA</w:t>
                  </w:r>
                </w:p>
              </w:tc>
            </w:tr>
            <w:tr w:rsidR="001270FD" w:rsidRPr="001270FD" w14:paraId="131E1E17" w14:textId="77777777">
              <w:trPr>
                <w:tblCellSpacing w:w="15" w:type="dxa"/>
              </w:trPr>
              <w:tc>
                <w:tcPr>
                  <w:tcW w:w="3750" w:type="dxa"/>
                  <w:hideMark/>
                </w:tcPr>
                <w:p w14:paraId="1BF2E093"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TIPO DE PROVIDENCIA</w:t>
                  </w:r>
                </w:p>
              </w:tc>
              <w:tc>
                <w:tcPr>
                  <w:tcW w:w="75" w:type="dxa"/>
                  <w:hideMark/>
                </w:tcPr>
                <w:p w14:paraId="4F9E28E4"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0193833B"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SENTENCIA</w:t>
                  </w:r>
                </w:p>
              </w:tc>
            </w:tr>
            <w:tr w:rsidR="001270FD" w:rsidRPr="001270FD" w14:paraId="3260536F" w14:textId="77777777">
              <w:trPr>
                <w:tblCellSpacing w:w="15" w:type="dxa"/>
              </w:trPr>
              <w:tc>
                <w:tcPr>
                  <w:tcW w:w="3750" w:type="dxa"/>
                  <w:hideMark/>
                </w:tcPr>
                <w:p w14:paraId="05751FEB"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FECHA</w:t>
                  </w:r>
                </w:p>
              </w:tc>
              <w:tc>
                <w:tcPr>
                  <w:tcW w:w="75" w:type="dxa"/>
                  <w:hideMark/>
                </w:tcPr>
                <w:p w14:paraId="795624E4"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78D22EF5"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03/12/2025</w:t>
                  </w:r>
                </w:p>
              </w:tc>
            </w:tr>
            <w:tr w:rsidR="001270FD" w:rsidRPr="001270FD" w14:paraId="6148B33C" w14:textId="77777777">
              <w:trPr>
                <w:tblCellSpacing w:w="15" w:type="dxa"/>
              </w:trPr>
              <w:tc>
                <w:tcPr>
                  <w:tcW w:w="3750" w:type="dxa"/>
                  <w:hideMark/>
                </w:tcPr>
                <w:p w14:paraId="346D887D"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DECISIÓN</w:t>
                  </w:r>
                </w:p>
              </w:tc>
              <w:tc>
                <w:tcPr>
                  <w:tcW w:w="75" w:type="dxa"/>
                  <w:hideMark/>
                </w:tcPr>
                <w:p w14:paraId="691A01F8"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25CA69C7"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NIEGA TUTELA</w:t>
                  </w:r>
                </w:p>
              </w:tc>
            </w:tr>
            <w:tr w:rsidR="001270FD" w:rsidRPr="001270FD" w14:paraId="697C0D39" w14:textId="77777777">
              <w:trPr>
                <w:tblCellSpacing w:w="15" w:type="dxa"/>
              </w:trPr>
              <w:tc>
                <w:tcPr>
                  <w:tcW w:w="3750" w:type="dxa"/>
                  <w:hideMark/>
                </w:tcPr>
                <w:p w14:paraId="3D10EAA0"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ACCIONADO</w:t>
                  </w:r>
                </w:p>
              </w:tc>
              <w:tc>
                <w:tcPr>
                  <w:tcW w:w="75" w:type="dxa"/>
                  <w:hideMark/>
                </w:tcPr>
                <w:p w14:paraId="4D05D032"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7310E05C"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LA SALA CIVIL FAMILIA DEL TRIBUNAL SUPERIOR Y EL JUZGADO SÉPTIMO CIVIL DEL CIRCUITO, AMBOS DEL DISTRITO JUDICIAL DE CARTAGENA</w:t>
                  </w:r>
                </w:p>
              </w:tc>
            </w:tr>
            <w:tr w:rsidR="001270FD" w:rsidRPr="001270FD" w14:paraId="6752D179" w14:textId="77777777">
              <w:trPr>
                <w:tblCellSpacing w:w="15" w:type="dxa"/>
              </w:trPr>
              <w:tc>
                <w:tcPr>
                  <w:tcW w:w="3750" w:type="dxa"/>
                  <w:hideMark/>
                </w:tcPr>
                <w:p w14:paraId="571441CF"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ACCIONANTE</w:t>
                  </w:r>
                </w:p>
              </w:tc>
              <w:tc>
                <w:tcPr>
                  <w:tcW w:w="75" w:type="dxa"/>
                  <w:hideMark/>
                </w:tcPr>
                <w:p w14:paraId="3F2D96F0"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w:t>
                  </w:r>
                </w:p>
              </w:tc>
              <w:tc>
                <w:tcPr>
                  <w:tcW w:w="0" w:type="auto"/>
                  <w:vAlign w:val="center"/>
                  <w:hideMark/>
                </w:tcPr>
                <w:p w14:paraId="53044EE0" w14:textId="77777777"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DIANA KATERINE LOBO SÁNCHEZ</w:t>
                  </w:r>
                </w:p>
              </w:tc>
            </w:tr>
          </w:tbl>
          <w:p w14:paraId="6F3AF096"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tc>
      </w:tr>
    </w:tbl>
    <w:p w14:paraId="21C2F5D4" w14:textId="77777777" w:rsidR="001270FD" w:rsidRPr="001270FD" w:rsidRDefault="001270FD" w:rsidP="001270FD">
      <w:pPr>
        <w:spacing w:after="0" w:line="240" w:lineRule="auto"/>
        <w:jc w:val="both"/>
        <w:rPr>
          <w:rFonts w:ascii="Bookman Old Style" w:eastAsia="Times New Roman" w:hAnsi="Bookman Old Style" w:cs="Times New Roman"/>
          <w:vanish/>
          <w:color w:val="000000"/>
          <w:kern w:val="0"/>
          <w:sz w:val="24"/>
          <w:szCs w:val="24"/>
          <w:lang w:eastAsia="es-CO"/>
          <w14:ligatures w14:val="none"/>
        </w:rPr>
      </w:pP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9010"/>
      </w:tblGrid>
      <w:tr w:rsidR="001270FD" w:rsidRPr="001270FD" w14:paraId="756542F7" w14:textId="7777777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4F1BB3"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p w14:paraId="4F5D7C6A" w14:textId="3D0C0601"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ASUNTO:</w:t>
            </w:r>
          </w:p>
          <w:p w14:paraId="5DA0D6D9"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 xml:space="preserve">SUPUESTOS FÁCTICOS: </w:t>
            </w:r>
          </w:p>
          <w:p w14:paraId="21630997"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p>
          <w:p w14:paraId="43AE0272"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 xml:space="preserve">La accionante, Diana </w:t>
            </w:r>
            <w:proofErr w:type="spellStart"/>
            <w:r w:rsidRPr="001270FD">
              <w:rPr>
                <w:rFonts w:ascii="Bookman Old Style" w:eastAsia="Times New Roman" w:hAnsi="Bookman Old Style" w:cs="Times New Roman"/>
                <w:kern w:val="0"/>
                <w:sz w:val="24"/>
                <w:szCs w:val="24"/>
                <w:lang w:eastAsia="es-CO"/>
                <w14:ligatures w14:val="none"/>
              </w:rPr>
              <w:t>Katerine</w:t>
            </w:r>
            <w:proofErr w:type="spellEnd"/>
            <w:r w:rsidRPr="001270FD">
              <w:rPr>
                <w:rFonts w:ascii="Bookman Old Style" w:eastAsia="Times New Roman" w:hAnsi="Bookman Old Style" w:cs="Times New Roman"/>
                <w:kern w:val="0"/>
                <w:sz w:val="24"/>
                <w:szCs w:val="24"/>
                <w:lang w:eastAsia="es-CO"/>
                <w14:ligatures w14:val="none"/>
              </w:rPr>
              <w:t xml:space="preserve"> Lobo Sánchez indicó que, mediante sentencia proferida por el Juzgado Séptimo Civil del Circuito de Cartagena, dentro del proceso de responsabilidad civil promovido en su contra por Jesús María Villalobos Barrios e Irina Janeth Villalobos Sánchez, se acogieron las pretensiones de la demanda y se le condenó al pago de una indemnización equivalente a cuarenta (40) salarios mínimos legales mensuales vigentes a favor de cada uno de los demandantes, con fundamento en el daño que causó con las publicaciones que realizó sobre su vida privada que —según los demandantes— afectaron su esfera psicológica, emocional y reputacional. </w:t>
            </w:r>
          </w:p>
          <w:p w14:paraId="7C9E95E8"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p>
          <w:p w14:paraId="299CDD3A"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lastRenderedPageBreak/>
              <w:t xml:space="preserve">Señaló que interpuso recurso de apelación contra dicha decisión, en el cual sostuvo, entre otros aspectos, que: i) si bien reconoció la autoría de algunas publicaciones, estas constituyeron reacciones a provocaciones previas de los demandantes, por lo que su confesión no podía ser fraccionada desconociendo la explicación causal; y </w:t>
            </w:r>
            <w:proofErr w:type="spellStart"/>
            <w:r w:rsidRPr="001270FD">
              <w:rPr>
                <w:rFonts w:ascii="Bookman Old Style" w:eastAsia="Times New Roman" w:hAnsi="Bookman Old Style" w:cs="Times New Roman"/>
                <w:kern w:val="0"/>
                <w:sz w:val="24"/>
                <w:szCs w:val="24"/>
                <w:lang w:eastAsia="es-CO"/>
                <w14:ligatures w14:val="none"/>
              </w:rPr>
              <w:t>ii</w:t>
            </w:r>
            <w:proofErr w:type="spellEnd"/>
            <w:r w:rsidRPr="001270FD">
              <w:rPr>
                <w:rFonts w:ascii="Bookman Old Style" w:eastAsia="Times New Roman" w:hAnsi="Bookman Old Style" w:cs="Times New Roman"/>
                <w:kern w:val="0"/>
                <w:sz w:val="24"/>
                <w:szCs w:val="24"/>
                <w:lang w:eastAsia="es-CO"/>
                <w14:ligatures w14:val="none"/>
              </w:rPr>
              <w:t xml:space="preserve">) el monto indemnizatorio resultaba desproporcionado, pues el contenido de las publicaciones no permitía inferir ataques directos ni expresiones denigrantes contra la familia o sus hijas menores. No obstante, la sentencia fue confirmada por el Tribunal Superior de Cartagena mediante providencia del 26 de mayo de 2025. </w:t>
            </w:r>
          </w:p>
          <w:p w14:paraId="00FFB845"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p>
          <w:p w14:paraId="3BDABD4D"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 xml:space="preserve">PROBLEMA JURÍDICO: </w:t>
            </w:r>
          </w:p>
          <w:p w14:paraId="0FAE2880" w14:textId="77777777" w:rsid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p>
          <w:p w14:paraId="507AC367" w14:textId="519D03F8" w:rsidR="001270FD" w:rsidRPr="001270FD" w:rsidRDefault="001270FD" w:rsidP="001270FD">
            <w:pPr>
              <w:spacing w:after="0" w:line="240" w:lineRule="auto"/>
              <w:jc w:val="both"/>
              <w:rPr>
                <w:rFonts w:ascii="Bookman Old Style" w:eastAsia="Times New Roman" w:hAnsi="Bookman Old Style" w:cs="Times New Roman"/>
                <w:kern w:val="0"/>
                <w:sz w:val="24"/>
                <w:szCs w:val="24"/>
                <w:lang w:eastAsia="es-CO"/>
                <w14:ligatures w14:val="none"/>
              </w:rPr>
            </w:pPr>
            <w:r w:rsidRPr="001270FD">
              <w:rPr>
                <w:rFonts w:ascii="Bookman Old Style" w:eastAsia="Times New Roman" w:hAnsi="Bookman Old Style" w:cs="Times New Roman"/>
                <w:kern w:val="0"/>
                <w:sz w:val="24"/>
                <w:szCs w:val="24"/>
                <w:lang w:eastAsia="es-CO"/>
                <w14:ligatures w14:val="none"/>
              </w:rPr>
              <w:t>¿La sentencia proferida en el proceso de responsabilidad civil extracontractual por el Tribunal Superior de Cartagena, que confirmó la decisión de primera instancia en la que se declaró responsable a la accionante por los daños y perjuicios ocasionados como consecuencia de la publicación en redes sociales de información íntima y sensible de la familia demandante, vulnera sus derechos fundamentales?</w:t>
            </w:r>
          </w:p>
          <w:p w14:paraId="10A7188B" w14:textId="77777777" w:rsidR="001270FD" w:rsidRPr="001270FD" w:rsidRDefault="001270FD" w:rsidP="001270FD">
            <w:pPr>
              <w:spacing w:after="0" w:line="240" w:lineRule="auto"/>
              <w:rPr>
                <w:rFonts w:ascii="Bookman Old Style" w:eastAsia="Times New Roman" w:hAnsi="Bookman Old Style" w:cs="Times New Roman"/>
                <w:kern w:val="0"/>
                <w:sz w:val="24"/>
                <w:szCs w:val="24"/>
                <w:lang w:eastAsia="es-CO"/>
                <w14:ligatures w14:val="none"/>
              </w:rPr>
            </w:pPr>
          </w:p>
        </w:tc>
      </w:tr>
    </w:tbl>
    <w:p w14:paraId="78F80CB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8E02715"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TEMA: </w:t>
      </w:r>
      <w:r w:rsidRPr="001270FD">
        <w:rPr>
          <w:rFonts w:ascii="Bookman Old Style" w:eastAsia="Times New Roman" w:hAnsi="Bookman Old Style" w:cs="Times New Roman"/>
          <w:b/>
          <w:bCs/>
          <w:color w:val="000000"/>
          <w:kern w:val="0"/>
          <w:sz w:val="24"/>
          <w:szCs w:val="24"/>
          <w:lang w:eastAsia="es-CO"/>
          <w14:ligatures w14:val="none"/>
        </w:rPr>
        <w:t>ACCIÓN DE TUTELA CONTRA PROVIDENCIA JUDICIAL</w:t>
      </w:r>
    </w:p>
    <w:p w14:paraId="505DCF10"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00E5D270"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DERECHO AL DEBIDO PROCESO</w:t>
      </w:r>
      <w:r w:rsidRPr="001270FD">
        <w:rPr>
          <w:rFonts w:ascii="Bookman Old Style" w:eastAsia="Times New Roman" w:hAnsi="Bookman Old Style" w:cs="Times New Roman"/>
          <w:color w:val="000000"/>
          <w:kern w:val="0"/>
          <w:sz w:val="24"/>
          <w:szCs w:val="24"/>
          <w:lang w:eastAsia="es-CO"/>
          <w14:ligatures w14:val="none"/>
        </w:rPr>
        <w:t> - Proceso de responsabilidad civil extracontractual: inexistencia de vía de hecho en la sentencia del Tribunal Superior de Cartagena que confirmó la responsabilidad de la accionante por la publicación en redes sociales de información íntima y sensible de la familia demandante, al desestimar los argumentos de provocación previa, uso reciproco de redes sociales y veracidad de la información divulgada</w:t>
      </w:r>
    </w:p>
    <w:p w14:paraId="626279CD"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2EEF1F37"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DERECHO AL DEBIDO PROCESO</w:t>
      </w:r>
      <w:r w:rsidRPr="001270FD">
        <w:rPr>
          <w:rFonts w:ascii="Bookman Old Style" w:eastAsia="Times New Roman" w:hAnsi="Bookman Old Style" w:cs="Times New Roman"/>
          <w:color w:val="000000"/>
          <w:kern w:val="0"/>
          <w:sz w:val="24"/>
          <w:szCs w:val="24"/>
          <w:lang w:eastAsia="es-CO"/>
          <w14:ligatures w14:val="none"/>
        </w:rPr>
        <w:t> - Proceso de responsabilidad civil extracontractual: inexistencia de vía de hecho en la sentencia del Tribunal Superior de Cartagena que confirmó la responsabilidad de la accionante por la publicación en redes sociales de información íntima y sensible de la familia demandante, toda vez que la calificación de dicha conducta como violencia contra la mujer fue debidamente razonada y sustentada en precedentes jurisprudenciales</w:t>
      </w:r>
    </w:p>
    <w:p w14:paraId="15A315D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255B6926"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ACCIÓN DE TUTELA CONTRA PROVIDENCIA JUDICIAL</w:t>
      </w:r>
      <w:r w:rsidRPr="001270FD">
        <w:rPr>
          <w:rFonts w:ascii="Bookman Old Style" w:eastAsia="Times New Roman" w:hAnsi="Bookman Old Style" w:cs="Times New Roman"/>
          <w:color w:val="000000"/>
          <w:kern w:val="0"/>
          <w:sz w:val="24"/>
          <w:szCs w:val="24"/>
          <w:lang w:eastAsia="es-CO"/>
          <w14:ligatures w14:val="none"/>
        </w:rPr>
        <w:t> - La acción de tutela no es una tercera instancia</w:t>
      </w:r>
    </w:p>
    <w:p w14:paraId="59C2FC21"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0950560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Tesis:</w:t>
      </w:r>
    </w:p>
    <w:p w14:paraId="31DE9E2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 xml:space="preserve">«Ab initio, se anuncia el fracaso del resguardo, porque el fallo expedido el 26 de mayo de 2025 por la Sala Civil Familia del Tribunal Superior de Cartagena, en el proceso </w:t>
      </w:r>
      <w:proofErr w:type="spellStart"/>
      <w:r w:rsidRPr="001270FD">
        <w:rPr>
          <w:rFonts w:ascii="Bookman Old Style" w:eastAsia="Times New Roman" w:hAnsi="Bookman Old Style" w:cs="Times New Roman"/>
          <w:color w:val="000000"/>
          <w:kern w:val="0"/>
          <w:sz w:val="24"/>
          <w:szCs w:val="24"/>
          <w:lang w:eastAsia="es-CO"/>
          <w14:ligatures w14:val="none"/>
        </w:rPr>
        <w:t>n.°</w:t>
      </w:r>
      <w:proofErr w:type="spellEnd"/>
      <w:r w:rsidRPr="001270FD">
        <w:rPr>
          <w:rFonts w:ascii="Bookman Old Style" w:eastAsia="Times New Roman" w:hAnsi="Bookman Old Style" w:cs="Times New Roman"/>
          <w:color w:val="000000"/>
          <w:kern w:val="0"/>
          <w:sz w:val="24"/>
          <w:szCs w:val="24"/>
          <w:lang w:eastAsia="es-CO"/>
          <w14:ligatures w14:val="none"/>
        </w:rPr>
        <w:t xml:space="preserve"> 2023-00077- único que se analiza por ser el que definió el asunto-, no fue el resultado de criterios subjetivos u ostensiblemente alejados del ordenamiento patrio, sino que obedece a una congruente apreciación del acervo, que no se muestra contraevidente con la realidad que fluye del </w:t>
      </w:r>
      <w:proofErr w:type="spellStart"/>
      <w:r w:rsidRPr="001270FD">
        <w:rPr>
          <w:rFonts w:ascii="Bookman Old Style" w:eastAsia="Times New Roman" w:hAnsi="Bookman Old Style" w:cs="Times New Roman"/>
          <w:color w:val="000000"/>
          <w:kern w:val="0"/>
          <w:sz w:val="24"/>
          <w:szCs w:val="24"/>
          <w:lang w:eastAsia="es-CO"/>
          <w14:ligatures w14:val="none"/>
        </w:rPr>
        <w:t>paginario</w:t>
      </w:r>
      <w:proofErr w:type="spellEnd"/>
      <w:r w:rsidRPr="001270FD">
        <w:rPr>
          <w:rFonts w:ascii="Bookman Old Style" w:eastAsia="Times New Roman" w:hAnsi="Bookman Old Style" w:cs="Times New Roman"/>
          <w:color w:val="000000"/>
          <w:kern w:val="0"/>
          <w:sz w:val="24"/>
          <w:szCs w:val="24"/>
          <w:lang w:eastAsia="es-CO"/>
          <w14:ligatures w14:val="none"/>
        </w:rPr>
        <w:t>.</w:t>
      </w:r>
    </w:p>
    <w:p w14:paraId="7EE3E23F"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41A75B6A"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lastRenderedPageBreak/>
        <w:t>Para arribar a dicha conclusión, luego de memorar los antecedentes, el veredicto del a quo y los argumentos de la alzada, estableció como problema jurídico a resolver “si de verdad se probó que la enjuiciada publicó todos los posts con información sensible de los libelistas”.</w:t>
      </w:r>
    </w:p>
    <w:p w14:paraId="3A216ED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23A5241"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Seguidamente citó los elementos de la responsabilidad civil extracontractual y descendió en “la responsabilidad civil por el uso inadecuado de las redes sociales”, respecto de la cual destacó que esta Corte en proveído SC5238-2019 (10 dic.), sostuvo:</w:t>
      </w:r>
    </w:p>
    <w:p w14:paraId="3BC0720E"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1F3771C"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“la responsabilidad civil en estos casos se nutre de la normada en el artículo 2341 del Código Civil en el sentido de que se rige por el sistema de culpa probada. No obstante, planteó la dificultad de establecer un régimen específico imperante por el uso del internet. Así, señaló la importancia de diferenciar (i) el tipo de plataforma digital, (</w:t>
      </w:r>
      <w:proofErr w:type="spellStart"/>
      <w:r w:rsidRPr="001270FD">
        <w:rPr>
          <w:rFonts w:ascii="Bookman Old Style" w:eastAsia="Times New Roman" w:hAnsi="Bookman Old Style" w:cs="Times New Roman"/>
          <w:color w:val="000000"/>
          <w:kern w:val="0"/>
          <w:sz w:val="24"/>
          <w:szCs w:val="24"/>
          <w:lang w:eastAsia="es-CO"/>
          <w14:ligatures w14:val="none"/>
        </w:rPr>
        <w:t>ii</w:t>
      </w:r>
      <w:proofErr w:type="spellEnd"/>
      <w:r w:rsidRPr="001270FD">
        <w:rPr>
          <w:rFonts w:ascii="Bookman Old Style" w:eastAsia="Times New Roman" w:hAnsi="Bookman Old Style" w:cs="Times New Roman"/>
          <w:color w:val="000000"/>
          <w:kern w:val="0"/>
          <w:sz w:val="24"/>
          <w:szCs w:val="24"/>
          <w:lang w:eastAsia="es-CO"/>
          <w14:ligatures w14:val="none"/>
        </w:rPr>
        <w:t>) los intereses o roles de los actores involucrados, (</w:t>
      </w:r>
      <w:proofErr w:type="spellStart"/>
      <w:r w:rsidRPr="001270FD">
        <w:rPr>
          <w:rFonts w:ascii="Bookman Old Style" w:eastAsia="Times New Roman" w:hAnsi="Bookman Old Style" w:cs="Times New Roman"/>
          <w:color w:val="000000"/>
          <w:kern w:val="0"/>
          <w:sz w:val="24"/>
          <w:szCs w:val="24"/>
          <w:lang w:eastAsia="es-CO"/>
          <w14:ligatures w14:val="none"/>
        </w:rPr>
        <w:t>iii</w:t>
      </w:r>
      <w:proofErr w:type="spellEnd"/>
      <w:r w:rsidRPr="001270FD">
        <w:rPr>
          <w:rFonts w:ascii="Bookman Old Style" w:eastAsia="Times New Roman" w:hAnsi="Bookman Old Style" w:cs="Times New Roman"/>
          <w:color w:val="000000"/>
          <w:kern w:val="0"/>
          <w:sz w:val="24"/>
          <w:szCs w:val="24"/>
          <w:lang w:eastAsia="es-CO"/>
          <w14:ligatures w14:val="none"/>
        </w:rPr>
        <w:t>) los tipos de control que existen, (</w:t>
      </w:r>
      <w:proofErr w:type="spellStart"/>
      <w:r w:rsidRPr="001270FD">
        <w:rPr>
          <w:rFonts w:ascii="Bookman Old Style" w:eastAsia="Times New Roman" w:hAnsi="Bookman Old Style" w:cs="Times New Roman"/>
          <w:color w:val="000000"/>
          <w:kern w:val="0"/>
          <w:sz w:val="24"/>
          <w:szCs w:val="24"/>
          <w:lang w:eastAsia="es-CO"/>
          <w14:ligatures w14:val="none"/>
        </w:rPr>
        <w:t>iv</w:t>
      </w:r>
      <w:proofErr w:type="spellEnd"/>
      <w:r w:rsidRPr="001270FD">
        <w:rPr>
          <w:rFonts w:ascii="Bookman Old Style" w:eastAsia="Times New Roman" w:hAnsi="Bookman Old Style" w:cs="Times New Roman"/>
          <w:color w:val="000000"/>
          <w:kern w:val="0"/>
          <w:sz w:val="24"/>
          <w:szCs w:val="24"/>
          <w:lang w:eastAsia="es-CO"/>
          <w14:ligatures w14:val="none"/>
        </w:rPr>
        <w:t>) la forma en que se hace la difusión o si se requiere autorización de los titulares”.</w:t>
      </w:r>
    </w:p>
    <w:p w14:paraId="366382C6"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130E8D9"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Allí también se dijo que, aunque en principio,</w:t>
      </w:r>
    </w:p>
    <w:p w14:paraId="4FBE7B89"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6D1381D3"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 xml:space="preserve">“no podría existir responsabilidad por los comentarios dejados en un blog. Pero cuando resultan ofensivos, inmoderados, calumniosos o injuriosos, o salpicados de críticas que afectan el honor o la reputación de una persona, han de serlo, inevitablemente. Es probable, entonces, que vulneren los derechos fundamentales a la intimidad, el buen nombre (artículo 15 Superior) y la honra (precepto 21). Lo propio puede acontecer con la libertad de expresión prevista en el art. 20 </w:t>
      </w:r>
      <w:proofErr w:type="spellStart"/>
      <w:r w:rsidRPr="001270FD">
        <w:rPr>
          <w:rFonts w:ascii="Bookman Old Style" w:eastAsia="Times New Roman" w:hAnsi="Bookman Old Style" w:cs="Times New Roman"/>
          <w:color w:val="000000"/>
          <w:kern w:val="0"/>
          <w:sz w:val="24"/>
          <w:szCs w:val="24"/>
          <w:lang w:eastAsia="es-CO"/>
          <w14:ligatures w14:val="none"/>
        </w:rPr>
        <w:t>ejúsdem</w:t>
      </w:r>
      <w:proofErr w:type="spellEnd"/>
      <w:r w:rsidRPr="001270FD">
        <w:rPr>
          <w:rFonts w:ascii="Bookman Old Style" w:eastAsia="Times New Roman" w:hAnsi="Bookman Old Style" w:cs="Times New Roman"/>
          <w:color w:val="000000"/>
          <w:kern w:val="0"/>
          <w:sz w:val="24"/>
          <w:szCs w:val="24"/>
          <w:lang w:eastAsia="es-CO"/>
          <w14:ligatures w14:val="none"/>
        </w:rPr>
        <w:t>”.</w:t>
      </w:r>
    </w:p>
    <w:p w14:paraId="60DAAF88"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7635AF1"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Previo a definir el caso concreto, aclaró que, aunque “la conducta de la parte demandada se ha enfocado en desviar la discusión a la veracidad de la presunta infidelidad en la que habría incurrido la señora Irina Castro Osorio. Ese no es el tópico materia de debate, como tampoco es asunto que le concierna a alguien más o deba salir de la esfera de intimidad de su familia” ya que, la controversia giraba “en torno a la existencia o no de las publicaciones de contenido sensible referente a la familia demandante, la autoría de las mismas y la afectación con ellas se habría producido a los libelistas”.</w:t>
      </w:r>
    </w:p>
    <w:p w14:paraId="7F3F3969"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5505D6D6"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Luego memoró los “argumentos de la apelación”, consistentes en que el sentenciador de primer grado:</w:t>
      </w:r>
    </w:p>
    <w:p w14:paraId="5E76BB7B"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752895A"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“i.- basó todo el fallo en la confesión de la demandada y en el fallo de tutela adosado al escrito genitor; (</w:t>
      </w:r>
      <w:proofErr w:type="spellStart"/>
      <w:r w:rsidRPr="001270FD">
        <w:rPr>
          <w:rFonts w:ascii="Bookman Old Style" w:eastAsia="Times New Roman" w:hAnsi="Bookman Old Style" w:cs="Times New Roman"/>
          <w:color w:val="000000"/>
          <w:kern w:val="0"/>
          <w:sz w:val="24"/>
          <w:szCs w:val="24"/>
          <w:lang w:eastAsia="es-CO"/>
          <w14:ligatures w14:val="none"/>
        </w:rPr>
        <w:t>ii</w:t>
      </w:r>
      <w:proofErr w:type="spellEnd"/>
      <w:r w:rsidRPr="001270FD">
        <w:rPr>
          <w:rFonts w:ascii="Bookman Old Style" w:eastAsia="Times New Roman" w:hAnsi="Bookman Old Style" w:cs="Times New Roman"/>
          <w:color w:val="000000"/>
          <w:kern w:val="0"/>
          <w:sz w:val="24"/>
          <w:szCs w:val="24"/>
          <w:lang w:eastAsia="es-CO"/>
          <w14:ligatures w14:val="none"/>
        </w:rPr>
        <w:t>) no fueron valorados los diversos testimonios, y en especial el de Jesús Iván Pereira Álvarez, quien se refirió al envío de videos íntimos de Irina Yaneth Castro Osorio por parte de Jesús María Villalobos Barrios a un abogado y la filtración de éstos como el “inicio del todo”; (</w:t>
      </w:r>
      <w:proofErr w:type="spellStart"/>
      <w:r w:rsidRPr="001270FD">
        <w:rPr>
          <w:rFonts w:ascii="Bookman Old Style" w:eastAsia="Times New Roman" w:hAnsi="Bookman Old Style" w:cs="Times New Roman"/>
          <w:color w:val="000000"/>
          <w:kern w:val="0"/>
          <w:sz w:val="24"/>
          <w:szCs w:val="24"/>
          <w:lang w:eastAsia="es-CO"/>
          <w14:ligatures w14:val="none"/>
        </w:rPr>
        <w:t>iii</w:t>
      </w:r>
      <w:proofErr w:type="spellEnd"/>
      <w:r w:rsidRPr="001270FD">
        <w:rPr>
          <w:rFonts w:ascii="Bookman Old Style" w:eastAsia="Times New Roman" w:hAnsi="Bookman Old Style" w:cs="Times New Roman"/>
          <w:color w:val="000000"/>
          <w:kern w:val="0"/>
          <w:sz w:val="24"/>
          <w:szCs w:val="24"/>
          <w:lang w:eastAsia="es-CO"/>
          <w14:ligatures w14:val="none"/>
        </w:rPr>
        <w:t>) la situación compleja de la familia demandante es anterior a las publicaciones de la demandada (</w:t>
      </w:r>
      <w:proofErr w:type="spellStart"/>
      <w:r w:rsidRPr="001270FD">
        <w:rPr>
          <w:rFonts w:ascii="Bookman Old Style" w:eastAsia="Times New Roman" w:hAnsi="Bookman Old Style" w:cs="Times New Roman"/>
          <w:color w:val="000000"/>
          <w:kern w:val="0"/>
          <w:sz w:val="24"/>
          <w:szCs w:val="24"/>
          <w:lang w:eastAsia="es-CO"/>
          <w14:ligatures w14:val="none"/>
        </w:rPr>
        <w:t>iv</w:t>
      </w:r>
      <w:proofErr w:type="spellEnd"/>
      <w:r w:rsidRPr="001270FD">
        <w:rPr>
          <w:rFonts w:ascii="Bookman Old Style" w:eastAsia="Times New Roman" w:hAnsi="Bookman Old Style" w:cs="Times New Roman"/>
          <w:color w:val="000000"/>
          <w:kern w:val="0"/>
          <w:sz w:val="24"/>
          <w:szCs w:val="24"/>
          <w:lang w:eastAsia="es-CO"/>
          <w14:ligatures w14:val="none"/>
        </w:rPr>
        <w:t xml:space="preserve">) La información publicada por la demandada es </w:t>
      </w:r>
      <w:proofErr w:type="spellStart"/>
      <w:r w:rsidRPr="001270FD">
        <w:rPr>
          <w:rFonts w:ascii="Bookman Old Style" w:eastAsia="Times New Roman" w:hAnsi="Bookman Old Style" w:cs="Times New Roman"/>
          <w:color w:val="000000"/>
          <w:kern w:val="0"/>
          <w:sz w:val="24"/>
          <w:szCs w:val="24"/>
          <w:lang w:eastAsia="es-CO"/>
          <w14:ligatures w14:val="none"/>
        </w:rPr>
        <w:t>veráz</w:t>
      </w:r>
      <w:proofErr w:type="spellEnd"/>
      <w:r w:rsidRPr="001270FD">
        <w:rPr>
          <w:rFonts w:ascii="Bookman Old Style" w:eastAsia="Times New Roman" w:hAnsi="Bookman Old Style" w:cs="Times New Roman"/>
          <w:color w:val="000000"/>
          <w:kern w:val="0"/>
          <w:sz w:val="24"/>
          <w:szCs w:val="24"/>
          <w:lang w:eastAsia="es-CO"/>
          <w14:ligatures w14:val="none"/>
        </w:rPr>
        <w:t>, en el sentido que la demandante incurrió en infidelidad.</w:t>
      </w:r>
    </w:p>
    <w:p w14:paraId="3523A92B"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6DB4C25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Enseguida, desestimó cada uno de ellos así: frente a la primera alegación, iteró que “la demandada confesó haber utilizado la información en su poder con el fin de humillar públicamente a los demandantes. En efecto, de ello da cuenta la contestación de la demanda, pues al referirse al hecho sexto, textualmente indica “Mi mandante, aunque efectuó algunas publicaciones por sus redes, lo hizo por las previas publicaciones y ataques en su contra hechos por la demandante señora IRINA CASTRO”“,</w:t>
      </w:r>
    </w:p>
    <w:p w14:paraId="101B3FD8"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6ED85B4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Aunque la recurrente sostuvo que la filtración fue originada por Jesús María Villalobos al enviar material íntimo a su abogado, lo cierto era que “ese alegato no solo se dejó de formular en su debida oportunidad, sino que además no encuentra sustento en el material probatorio recabado” y el testigo Jesús Pereira Álvarez, lejos de exculpar a la demandada, la identifica como autora de las publicaciones “solo se señaló que vio esos videos y fotos en posts hechos desde los perfiles de Facebook e Instagram pertenecientes a la demandada”.</w:t>
      </w:r>
    </w:p>
    <w:p w14:paraId="08410D3C"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5DC59E4B"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Precisó que, según lo declarado por la demandada en su interrogatorio, ella tenía las pruebas de la situación familiar del extremo activo y si hubiese querido, las habría publicado “desde una cuenta falsa”, ya que nadie quiere comprometer su nombre en esa situación. Dijo que no niega “ni un minuto” de todas las publicaciones que hizo. Expresó que nunca puso los nombres o fotos de las hijas Villalobos Castro, a lo que agrega que realizó unas publicaciones como reacción a la que realizó Irina Castro Osorio, “quien buscó ridiculizar a su hija, pero nunca hizo uso de páginas falsa”.</w:t>
      </w:r>
    </w:p>
    <w:p w14:paraId="6DB90A48"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36022F8"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Tampoco era cierto que “el fallo de tutela se basó exclusivamente en la presunción de veracidad”, pues la decisión sancionatoria del trámite constitucional “se cimentó en la falta de prueba respecto del efectivo cumplimiento de la orden de amparo” y, en lo que a la responsabilidad concierne, “hubo apoyo demostrativo en la decisión de tutela que tuvo por probadas las publicaciones y la afectación moral de la familia, así como los documentos anexados al libelo”.</w:t>
      </w:r>
    </w:p>
    <w:p w14:paraId="12B395EB"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089A06C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La línea de defensa sobre el hecho exclusivo de la víctima o el de un tercero no fueron planteados a la hora de descorrer el traslado ni se invocaron como medio exceptivo. Sin embargo, el testimonio de Jesús Pereira Álvarez señaló a “Diana Katherine Lobo Sánchez como la persona que realizó las publicaciones. De sus dichos no se desprende que haya sido el abogado del señor Villalobos Barrios quien subió el contenido a las redes sociales, ni mucho menos que él se lo transmitiera a otras personas que lo hicieran. Solo se señaló que vio esos videos y fotos en posts hechos desde los perfiles de Facebook e Instagram pertenecientes a la demandada”.</w:t>
      </w:r>
    </w:p>
    <w:p w14:paraId="27FCB5F5"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54D1143C"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 xml:space="preserve">Indicó que, aunque ambas partes utilizaron redes sociales para sostener rencillas, Diana Katherine Lobo obró de manera desproporcionada, pues se aprovechó de la información suministrada por Villalobos Barrios y, “no solo grabó conversaciones privadas y tomó capturas de pantalla de chats sin el permiso del demandado, sino que las divulgó en medios digitales de acceso </w:t>
      </w:r>
      <w:r w:rsidRPr="001270FD">
        <w:rPr>
          <w:rFonts w:ascii="Bookman Old Style" w:eastAsia="Times New Roman" w:hAnsi="Bookman Old Style" w:cs="Times New Roman"/>
          <w:color w:val="000000"/>
          <w:kern w:val="0"/>
          <w:sz w:val="24"/>
          <w:szCs w:val="24"/>
          <w:lang w:eastAsia="es-CO"/>
          <w14:ligatures w14:val="none"/>
        </w:rPr>
        <w:lastRenderedPageBreak/>
        <w:t>masivo sin la autorización de él. Lo hizo con el único propósito de vengarse por lo que denominó ataques dirigidos contra ella, pero que -valga aclarar- al margen de la afectación que la conducta de la demandante le hubiera causado, no es la forma de responder a la agresión de la cual se declara víctima”.</w:t>
      </w:r>
    </w:p>
    <w:p w14:paraId="0E7B1E7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0505C393"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Afirmó que la conducta de la demandada de acuerdo con los estándares internacionales y jurisprudencia constitucional constituye violencia contra la mujer y citó la Sentencia T-280 de 2022 para definir esta modalidad como:</w:t>
      </w:r>
    </w:p>
    <w:p w14:paraId="4EDC6B4A"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A19CE6E"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“todo acto de violencia por razón de género contra la mujer cometido, con la asistencia, en parte o en su totalidad, del uso de las TIC (…) dirigida contra una mujer porque es mujer o que la afecta en forma desproporcionada” y le generan daños psicológicos graves, últimos que fueron acreditados en el informe pericial que evidenció “la afectación psicológica manifestada en ansiedad, depresión, disociación y estrés postraumático”.</w:t>
      </w:r>
    </w:p>
    <w:p w14:paraId="710E7813"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413FB5B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En torno al dictamen rendido, constató que “la valoración o los resultados de ese informe psicológico no fueron controvertidos a la hora de formular el recurso de apelación. Eso fue traído como un agravio novedoso en la sustentación de la alzada ante esta superioridad aportando para tal efecto un dictamen con el que pretenden controvertir las conclusiones de aquel, situación que deja ese punto por fuera de la controversia en esta instancia”.</w:t>
      </w:r>
    </w:p>
    <w:p w14:paraId="25BB096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DF825E4"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Dedujo, entonces que:</w:t>
      </w:r>
    </w:p>
    <w:p w14:paraId="30DB5AB0"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C613BED"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“Están constituidos todos los elementos de la responsabilidad civil demandada por los libelistas. Esto debido a que: (i) están demostradas las publicaciones de información íntima y privada por parte de Diana Katherine Lobo Sánchez; (</w:t>
      </w:r>
      <w:proofErr w:type="spellStart"/>
      <w:r w:rsidRPr="001270FD">
        <w:rPr>
          <w:rFonts w:ascii="Bookman Old Style" w:eastAsia="Times New Roman" w:hAnsi="Bookman Old Style" w:cs="Times New Roman"/>
          <w:color w:val="000000"/>
          <w:kern w:val="0"/>
          <w:sz w:val="24"/>
          <w:szCs w:val="24"/>
          <w:lang w:eastAsia="es-CO"/>
          <w14:ligatures w14:val="none"/>
        </w:rPr>
        <w:t>ii</w:t>
      </w:r>
      <w:proofErr w:type="spellEnd"/>
      <w:r w:rsidRPr="001270FD">
        <w:rPr>
          <w:rFonts w:ascii="Bookman Old Style" w:eastAsia="Times New Roman" w:hAnsi="Bookman Old Style" w:cs="Times New Roman"/>
          <w:color w:val="000000"/>
          <w:kern w:val="0"/>
          <w:sz w:val="24"/>
          <w:szCs w:val="24"/>
          <w:lang w:eastAsia="es-CO"/>
          <w14:ligatures w14:val="none"/>
        </w:rPr>
        <w:t>) tal información sensible recae en la personalidad de los demandantes, así como respecto de su situación íntima y familiar; y (</w:t>
      </w:r>
      <w:proofErr w:type="spellStart"/>
      <w:r w:rsidRPr="001270FD">
        <w:rPr>
          <w:rFonts w:ascii="Bookman Old Style" w:eastAsia="Times New Roman" w:hAnsi="Bookman Old Style" w:cs="Times New Roman"/>
          <w:color w:val="000000"/>
          <w:kern w:val="0"/>
          <w:sz w:val="24"/>
          <w:szCs w:val="24"/>
          <w:lang w:eastAsia="es-CO"/>
          <w14:ligatures w14:val="none"/>
        </w:rPr>
        <w:t>iii</w:t>
      </w:r>
      <w:proofErr w:type="spellEnd"/>
      <w:r w:rsidRPr="001270FD">
        <w:rPr>
          <w:rFonts w:ascii="Bookman Old Style" w:eastAsia="Times New Roman" w:hAnsi="Bookman Old Style" w:cs="Times New Roman"/>
          <w:color w:val="000000"/>
          <w:kern w:val="0"/>
          <w:sz w:val="24"/>
          <w:szCs w:val="24"/>
          <w:lang w:eastAsia="es-CO"/>
          <w14:ligatures w14:val="none"/>
        </w:rPr>
        <w:t xml:space="preserve">) se hizo en redes sociales como Facebook, Instagram y </w:t>
      </w:r>
      <w:proofErr w:type="spellStart"/>
      <w:r w:rsidRPr="001270FD">
        <w:rPr>
          <w:rFonts w:ascii="Bookman Old Style" w:eastAsia="Times New Roman" w:hAnsi="Bookman Old Style" w:cs="Times New Roman"/>
          <w:color w:val="000000"/>
          <w:kern w:val="0"/>
          <w:sz w:val="24"/>
          <w:szCs w:val="24"/>
          <w:lang w:eastAsia="es-CO"/>
          <w14:ligatures w14:val="none"/>
        </w:rPr>
        <w:t>Whatsapp</w:t>
      </w:r>
      <w:proofErr w:type="spellEnd"/>
      <w:r w:rsidRPr="001270FD">
        <w:rPr>
          <w:rFonts w:ascii="Bookman Old Style" w:eastAsia="Times New Roman" w:hAnsi="Bookman Old Style" w:cs="Times New Roman"/>
          <w:color w:val="000000"/>
          <w:kern w:val="0"/>
          <w:sz w:val="24"/>
          <w:szCs w:val="24"/>
          <w:lang w:eastAsia="es-CO"/>
          <w14:ligatures w14:val="none"/>
        </w:rPr>
        <w:t xml:space="preserve"> en donde existe público acceso para los diferentes usuarios que interactúan en ella. Además, se acreditó que (</w:t>
      </w:r>
      <w:proofErr w:type="spellStart"/>
      <w:r w:rsidRPr="001270FD">
        <w:rPr>
          <w:rFonts w:ascii="Bookman Old Style" w:eastAsia="Times New Roman" w:hAnsi="Bookman Old Style" w:cs="Times New Roman"/>
          <w:color w:val="000000"/>
          <w:kern w:val="0"/>
          <w:sz w:val="24"/>
          <w:szCs w:val="24"/>
          <w:lang w:eastAsia="es-CO"/>
          <w14:ligatures w14:val="none"/>
        </w:rPr>
        <w:t>iv</w:t>
      </w:r>
      <w:proofErr w:type="spellEnd"/>
      <w:r w:rsidRPr="001270FD">
        <w:rPr>
          <w:rFonts w:ascii="Bookman Old Style" w:eastAsia="Times New Roman" w:hAnsi="Bookman Old Style" w:cs="Times New Roman"/>
          <w:color w:val="000000"/>
          <w:kern w:val="0"/>
          <w:sz w:val="24"/>
          <w:szCs w:val="24"/>
          <w:lang w:eastAsia="es-CO"/>
          <w14:ligatures w14:val="none"/>
        </w:rPr>
        <w:t>) la difusión de contenidos gravosos a la honra o el honor de los afectado se hizo con la intención de dañarlos en son de venganza o retaliación; y (v) se acreditó el daño moral sufrido por las personas que conforman el extremo activo de la lid.</w:t>
      </w:r>
    </w:p>
    <w:p w14:paraId="5DDBD75A"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46D2CF2A"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No se demostró ni se alegó en el momento adecuado que la causa de los daños provino de causas externas, de la misma víctima o por publicaciones de otras personas. Se argumentó que el testigo Jesús Iván Pereira Álvarez mencionó una fuga de información ocasionada por el señor Jesús Villalobos Barrios al enviar contenido a su abogado para un proceso de divorcio. Sin embargo, el mismo testigo declaró que las publicaciones siempre procedieron de los perfiles de redes sociales de Diana Katherine Lobo Sánchez, según él lo observó. Lo que si se demostró es que la demandada tuvo a su mano la información y el contenido íntimo, así como que lo divulgó sin autorización alguna de los convocantes.</w:t>
      </w:r>
    </w:p>
    <w:p w14:paraId="75DADFC5"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4A77B81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lastRenderedPageBreak/>
        <w:t>Por esos motivos confirmó la providencia de primera instancia.</w:t>
      </w:r>
    </w:p>
    <w:p w14:paraId="6243C4B1"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E6E9962"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 xml:space="preserve">1.1.- Así las cosas, con independencia de que esta Sala avale o no las disertaciones transcritas, no emerge defecto alguno que estructure una “vía de hecho” como busca la impulsora, quien aspira imponer su propia visión acerca de la solución que debió darse al pleito, sin que tal propósito acompase con la finalidad de la vía superlativa, cuyo objetivo tuitivo no es servir de tercera instancia para discutir los fundamentos de la “autoridad judicial” en el ámbito de sus competencias (STC, 6 </w:t>
      </w:r>
      <w:proofErr w:type="spellStart"/>
      <w:r w:rsidRPr="001270FD">
        <w:rPr>
          <w:rFonts w:ascii="Bookman Old Style" w:eastAsia="Times New Roman" w:hAnsi="Bookman Old Style" w:cs="Times New Roman"/>
          <w:color w:val="000000"/>
          <w:kern w:val="0"/>
          <w:sz w:val="24"/>
          <w:szCs w:val="24"/>
          <w:lang w:eastAsia="es-CO"/>
          <w14:ligatures w14:val="none"/>
        </w:rPr>
        <w:t>may</w:t>
      </w:r>
      <w:proofErr w:type="spellEnd"/>
      <w:r w:rsidRPr="001270FD">
        <w:rPr>
          <w:rFonts w:ascii="Bookman Old Style" w:eastAsia="Times New Roman" w:hAnsi="Bookman Old Style" w:cs="Times New Roman"/>
          <w:color w:val="000000"/>
          <w:kern w:val="0"/>
          <w:sz w:val="24"/>
          <w:szCs w:val="24"/>
          <w:lang w:eastAsia="es-CO"/>
          <w14:ligatures w14:val="none"/>
        </w:rPr>
        <w:t>. 2011, Rad. 00829-00; STC,9232-2018, STC2544-2021, STC360-2023, STC2707-2024 y STC1310-2025)».</w:t>
      </w:r>
    </w:p>
    <w:p w14:paraId="5ED2149E"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5ACFF831"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000000"/>
          <w:kern w:val="0"/>
          <w:sz w:val="24"/>
          <w:szCs w:val="24"/>
          <w:lang w:eastAsia="es-CO"/>
          <w14:ligatures w14:val="none"/>
        </w:rPr>
        <w:t>DERECHO AL DEBIDO PROCESO</w:t>
      </w:r>
      <w:r w:rsidRPr="001270FD">
        <w:rPr>
          <w:rFonts w:ascii="Bookman Old Style" w:eastAsia="Times New Roman" w:hAnsi="Bookman Old Style" w:cs="Times New Roman"/>
          <w:color w:val="000000"/>
          <w:kern w:val="0"/>
          <w:sz w:val="24"/>
          <w:szCs w:val="24"/>
          <w:lang w:eastAsia="es-CO"/>
          <w14:ligatures w14:val="none"/>
        </w:rPr>
        <w:t> - Proceso de responsabilidad civil extracontractual: las discrepancias en la valoración probatoria no vulneran el debido proceso (c. j.)</w:t>
      </w:r>
    </w:p>
    <w:p w14:paraId="54A0B685"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65ADCA7"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Tesis:</w:t>
      </w:r>
    </w:p>
    <w:p w14:paraId="7B2ABCD0"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«Frente a la inconformidad de la querellante con la valoración de las pruebas, conviene recordar que, de conformidad con la jurisprudencia reiterada de esta Sala,</w:t>
      </w:r>
    </w:p>
    <w:p w14:paraId="0B3F8AFE"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3909EBA8"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color w:val="000000"/>
          <w:kern w:val="0"/>
          <w:sz w:val="24"/>
          <w:szCs w:val="24"/>
          <w:lang w:eastAsia="es-CO"/>
          <w14:ligatures w14:val="none"/>
        </w:rPr>
        <w:t>[e]l campo en donde fluye la independencia del juez con mayor vigor, es en cuanto a la valoración de las pruebas. Ello por cuanto el administrador de justicia es quien puede apreciar y valorar, de la manera más certera, el material probatorio que obra dentro de un proceso, inspirándose en los principios científicos de la sana crítica (...) de forma que sólo es factible fundar una acción de tutela, cuando se observa en el caso concreto, que de manera manifiesta el operador jurídico ejecuta un juicio irrazonable o arbitrario sobre la valoración probatoria por fuera de las reglas básicas de realización, práctica y apreciación, las cuales se reflejan en la correspondiente providencia. El error en el juicio valorativo, ha dicho esta Corte, debe ser de tal entidad que debe ser ostensible, flagrante, manifiesto y el mismo debe poseer una incidencia directa en la decisión (CSJ, STC419-2021 y STC13152-2021, citadas en STC12876-2022, STC3655-2023 y STC4050-2025), circunstancia que no se vislumbra en el caso concreto».</w:t>
      </w:r>
    </w:p>
    <w:p w14:paraId="0B4AE349"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78F41F17" w14:textId="77777777"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p>
    <w:p w14:paraId="48C6FFF5" w14:textId="52FE1839" w:rsidR="001270FD" w:rsidRPr="001270FD" w:rsidRDefault="001270FD" w:rsidP="001270FD">
      <w:pPr>
        <w:spacing w:after="0" w:line="240" w:lineRule="auto"/>
        <w:jc w:val="both"/>
        <w:rPr>
          <w:rFonts w:ascii="Bookman Old Style" w:eastAsia="Times New Roman" w:hAnsi="Bookman Old Style" w:cs="Times New Roman"/>
          <w:color w:val="000000"/>
          <w:kern w:val="0"/>
          <w:sz w:val="24"/>
          <w:szCs w:val="24"/>
          <w:lang w:eastAsia="es-CO"/>
          <w14:ligatures w14:val="none"/>
        </w:rPr>
      </w:pPr>
      <w:r w:rsidRPr="001270FD">
        <w:rPr>
          <w:rFonts w:ascii="Bookman Old Style" w:eastAsia="Times New Roman" w:hAnsi="Bookman Old Style" w:cs="Times New Roman"/>
          <w:b/>
          <w:bCs/>
          <w:color w:val="7D3B05"/>
          <w:kern w:val="0"/>
          <w:sz w:val="24"/>
          <w:szCs w:val="24"/>
          <w:lang w:eastAsia="es-CO"/>
          <w14:ligatures w14:val="none"/>
        </w:rPr>
        <w:t>JURISPRUDENCIA RELACIONADA: </w:t>
      </w:r>
      <w:r w:rsidRPr="001270FD">
        <w:rPr>
          <w:rFonts w:ascii="Bookman Old Style" w:eastAsia="Times New Roman" w:hAnsi="Bookman Old Style" w:cs="Times New Roman"/>
          <w:color w:val="000000"/>
          <w:kern w:val="0"/>
          <w:sz w:val="24"/>
          <w:szCs w:val="24"/>
          <w:lang w:eastAsia="es-CO"/>
          <w14:ligatures w14:val="none"/>
        </w:rPr>
        <w:t>SC5238-2019; STC,9232-2018; CSJ, STC419-2021</w:t>
      </w:r>
    </w:p>
    <w:p w14:paraId="15562828" w14:textId="77777777" w:rsidR="001270FD" w:rsidRPr="001270FD" w:rsidRDefault="001270FD" w:rsidP="001270FD">
      <w:pPr>
        <w:spacing w:after="0" w:line="240" w:lineRule="auto"/>
        <w:rPr>
          <w:rFonts w:ascii="Bookman Old Style" w:eastAsia="Times New Roman" w:hAnsi="Bookman Old Style" w:cs="Times New Roman"/>
          <w:color w:val="000000"/>
          <w:kern w:val="0"/>
          <w:sz w:val="24"/>
          <w:szCs w:val="24"/>
          <w:lang w:eastAsia="es-CO"/>
          <w14:ligatures w14:val="none"/>
        </w:rPr>
      </w:pPr>
    </w:p>
    <w:p w14:paraId="74420AB0" w14:textId="6A8403BC" w:rsidR="00CE1811" w:rsidRPr="001270FD" w:rsidRDefault="00CE1811" w:rsidP="001270FD">
      <w:pPr>
        <w:spacing w:after="0" w:line="240" w:lineRule="auto"/>
        <w:rPr>
          <w:rFonts w:ascii="Bookman Old Style" w:eastAsia="Times New Roman" w:hAnsi="Bookman Old Style" w:cs="Times New Roman"/>
          <w:color w:val="000000"/>
          <w:kern w:val="0"/>
          <w:sz w:val="24"/>
          <w:szCs w:val="24"/>
          <w:lang w:eastAsia="es-CO"/>
          <w14:ligatures w14:val="none"/>
        </w:rPr>
      </w:pPr>
    </w:p>
    <w:sectPr w:rsidR="00CE1811" w:rsidRPr="001270FD" w:rsidSect="00E86A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FD"/>
    <w:rsid w:val="001270FD"/>
    <w:rsid w:val="00714CCF"/>
    <w:rsid w:val="00CE1811"/>
    <w:rsid w:val="00E86A35"/>
    <w:rsid w:val="00EB020C"/>
    <w:rsid w:val="00F60F3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5D370"/>
  <w15:chartTrackingRefBased/>
  <w15:docId w15:val="{F82DFAE6-8A16-44BF-B4B8-EAD9E6CBA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270F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1270F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1270F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1270F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1270F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1270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270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270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270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270F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1270F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1270F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1270F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1270F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1270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270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270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270FD"/>
    <w:rPr>
      <w:rFonts w:eastAsiaTheme="majorEastAsia" w:cstheme="majorBidi"/>
      <w:color w:val="272727" w:themeColor="text1" w:themeTint="D8"/>
    </w:rPr>
  </w:style>
  <w:style w:type="paragraph" w:styleId="Ttulo">
    <w:name w:val="Title"/>
    <w:basedOn w:val="Normal"/>
    <w:next w:val="Normal"/>
    <w:link w:val="TtuloCar"/>
    <w:uiPriority w:val="10"/>
    <w:qFormat/>
    <w:rsid w:val="00127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270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270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270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270FD"/>
    <w:pPr>
      <w:spacing w:before="160"/>
      <w:jc w:val="center"/>
    </w:pPr>
    <w:rPr>
      <w:i/>
      <w:iCs/>
      <w:color w:val="404040" w:themeColor="text1" w:themeTint="BF"/>
    </w:rPr>
  </w:style>
  <w:style w:type="character" w:customStyle="1" w:styleId="CitaCar">
    <w:name w:val="Cita Car"/>
    <w:basedOn w:val="Fuentedeprrafopredeter"/>
    <w:link w:val="Cita"/>
    <w:uiPriority w:val="29"/>
    <w:rsid w:val="001270FD"/>
    <w:rPr>
      <w:i/>
      <w:iCs/>
      <w:color w:val="404040" w:themeColor="text1" w:themeTint="BF"/>
    </w:rPr>
  </w:style>
  <w:style w:type="paragraph" w:styleId="Prrafodelista">
    <w:name w:val="List Paragraph"/>
    <w:basedOn w:val="Normal"/>
    <w:uiPriority w:val="34"/>
    <w:qFormat/>
    <w:rsid w:val="001270FD"/>
    <w:pPr>
      <w:ind w:left="720"/>
      <w:contextualSpacing/>
    </w:pPr>
  </w:style>
  <w:style w:type="character" w:styleId="nfasisintenso">
    <w:name w:val="Intense Emphasis"/>
    <w:basedOn w:val="Fuentedeprrafopredeter"/>
    <w:uiPriority w:val="21"/>
    <w:qFormat/>
    <w:rsid w:val="001270FD"/>
    <w:rPr>
      <w:i/>
      <w:iCs/>
      <w:color w:val="2F5496" w:themeColor="accent1" w:themeShade="BF"/>
    </w:rPr>
  </w:style>
  <w:style w:type="paragraph" w:styleId="Citadestacada">
    <w:name w:val="Intense Quote"/>
    <w:basedOn w:val="Normal"/>
    <w:next w:val="Normal"/>
    <w:link w:val="CitadestacadaCar"/>
    <w:uiPriority w:val="30"/>
    <w:qFormat/>
    <w:rsid w:val="001270F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1270FD"/>
    <w:rPr>
      <w:i/>
      <w:iCs/>
      <w:color w:val="2F5496" w:themeColor="accent1" w:themeShade="BF"/>
    </w:rPr>
  </w:style>
  <w:style w:type="character" w:styleId="Referenciaintensa">
    <w:name w:val="Intense Reference"/>
    <w:basedOn w:val="Fuentedeprrafopredeter"/>
    <w:uiPriority w:val="32"/>
    <w:qFormat/>
    <w:rsid w:val="001270FD"/>
    <w:rPr>
      <w:b/>
      <w:bCs/>
      <w:smallCaps/>
      <w:color w:val="2F5496" w:themeColor="accent1" w:themeShade="BF"/>
      <w:spacing w:val="5"/>
    </w:rPr>
  </w:style>
  <w:style w:type="character" w:styleId="Hipervnculo">
    <w:name w:val="Hyperlink"/>
    <w:basedOn w:val="Fuentedeprrafopredeter"/>
    <w:uiPriority w:val="99"/>
    <w:unhideWhenUsed/>
    <w:rsid w:val="00F60F3D"/>
    <w:rPr>
      <w:color w:val="0563C1" w:themeColor="hyperlink"/>
      <w:u w:val="single"/>
    </w:rPr>
  </w:style>
  <w:style w:type="character" w:styleId="Mencinsinresolver">
    <w:name w:val="Unresolved Mention"/>
    <w:basedOn w:val="Fuentedeprrafopredeter"/>
    <w:uiPriority w:val="99"/>
    <w:semiHidden/>
    <w:unhideWhenUsed/>
    <w:rsid w:val="00F60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rchivodigitalapi.cortesuprema.gov.co/share/2026/3/Relevantes/STC19743-2025.docx"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2301</Words>
  <Characters>12660</Characters>
  <Application>Microsoft Office Word</Application>
  <DocSecurity>0</DocSecurity>
  <Lines>105</Lines>
  <Paragraphs>29</Paragraphs>
  <ScaleCrop>false</ScaleCrop>
  <Company/>
  <LinksUpToDate>false</LinksUpToDate>
  <CharactersWithSpaces>14932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Alexander Lopez Briceño</dc:creator>
  <cp:keywords/>
  <dc:description/>
  <cp:lastModifiedBy>Jorge Alexander Lopez Briceño</cp:lastModifiedBy>
  <cp:revision>2</cp:revision>
  <dcterms:created xsi:type="dcterms:W3CDTF">2026-03-13T21:13:00Z</dcterms:created>
  <dcterms:modified xsi:type="dcterms:W3CDTF">2026-03-13T21:24:00Z</dcterms:modified>
</cp:coreProperties>
</file>